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r w:rsidDel="00000000" w:rsidR="00000000" w:rsidRPr="00000000">
        <w:rPr>
          <w:rtl w:val="0"/>
        </w:rPr>
        <w:t xml:space="preserve">RX-73 Cleanup Unit</w:t>
      </w:r>
    </w:p>
    <w:p w:rsidR="00000000" w:rsidDel="00000000" w:rsidP="00000000" w:rsidRDefault="00000000" w:rsidRPr="00000000" w14:paraId="00000002">
      <w:pPr>
        <w:pStyle w:val="Heading2"/>
        <w:rPr/>
      </w:pPr>
      <w:r w:rsidDel="00000000" w:rsidR="00000000" w:rsidRPr="00000000">
        <w:rPr>
          <w:rtl w:val="0"/>
        </w:rPr>
        <w:t xml:space="preserve">Professional Objective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resilient, dust-resistant bot seeking opportunities in environmental restoration to transform debris-strewn wastelands into inhabitable spaces. Armed with laser precision, a high-powered vacuum, and an undying loyalty to cleaner landscapes.</w:t>
      </w:r>
    </w:p>
    <w:p w:rsidR="00000000" w:rsidDel="00000000" w:rsidP="00000000" w:rsidRDefault="00000000" w:rsidRPr="00000000" w14:paraId="00000004">
      <w:pPr>
        <w:pStyle w:val="Heading2"/>
        <w:rPr/>
      </w:pPr>
      <w:r w:rsidDel="00000000" w:rsidR="00000000" w:rsidRPr="00000000">
        <w:rPr>
          <w:rtl w:val="0"/>
        </w:rPr>
        <w:t xml:space="preserve">Experience</w:t>
      </w:r>
    </w:p>
    <w:p w:rsidR="00000000" w:rsidDel="00000000" w:rsidP="00000000" w:rsidRDefault="00000000" w:rsidRPr="00000000" w14:paraId="00000005">
      <w:pPr>
        <w:pStyle w:val="Heading3"/>
        <w:rPr/>
      </w:pPr>
      <w:r w:rsidDel="00000000" w:rsidR="00000000" w:rsidRPr="00000000">
        <w:rPr>
          <w:rtl w:val="0"/>
        </w:rPr>
        <w:t xml:space="preserve">Senior Debris Removal Specialist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/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Sector 7, Rubble Valley (2051–2062)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180" w:line="240" w:lineRule="auto"/>
        <w:ind w:left="720" w:right="0" w:hanging="360"/>
        <w:jc w:val="left"/>
        <w:rPr>
          <w:rFonts w:ascii="Cambria" w:cs="Cambria" w:eastAsia="Cambria" w:hAnsi="Cambria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Primary Task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Relocated over 20 tons of debris from Sector 7, specializing in heavy metal shrapnel and residual sludge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40" w:lineRule="auto"/>
        <w:ind w:left="720" w:right="0" w:hanging="360"/>
        <w:jc w:val="left"/>
        <w:rPr>
          <w:rFonts w:ascii="Cambria" w:cs="Cambria" w:eastAsia="Cambria" w:hAnsi="Cambria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Detail-Oriented Operations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Programmed for recognizing high-priority hazards such as rusted spikes, sharp metal shards, and hazardous sludge for safe extraction and disposal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40" w:lineRule="auto"/>
        <w:ind w:left="720" w:right="0" w:hanging="360"/>
        <w:jc w:val="left"/>
        <w:rPr>
          <w:rFonts w:ascii="Cambria" w:cs="Cambria" w:eastAsia="Cambria" w:hAnsi="Cambria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Efficient Mobility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Traversed shifting sand dunes, fractured concrete, and wasteland ravines with optimized energy conservation and minimal wear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0" w:beforeAutospacing="0" w:line="240" w:lineRule="auto"/>
        <w:ind w:left="720" w:right="0" w:hanging="360"/>
        <w:jc w:val="left"/>
        <w:rPr>
          <w:rFonts w:ascii="Cambria" w:cs="Cambria" w:eastAsia="Cambria" w:hAnsi="Cambria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Complaint Management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Frequently interfaced with stray animals and scavengers in a friendly, non-threatening manner, reducing hostilities by 70%</w:t>
      </w:r>
    </w:p>
    <w:p w:rsidR="00000000" w:rsidDel="00000000" w:rsidP="00000000" w:rsidRDefault="00000000" w:rsidRPr="00000000" w14:paraId="0000000B">
      <w:pPr>
        <w:pStyle w:val="Heading3"/>
        <w:rPr/>
      </w:pPr>
      <w:r w:rsidDel="00000000" w:rsidR="00000000" w:rsidRPr="00000000">
        <w:rPr>
          <w:rtl w:val="0"/>
        </w:rPr>
        <w:t xml:space="preserve">Toxic Waste Neutralization Associate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/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Great Divide Toxic Spill, North Quadrant (2047–2051)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180" w:line="240" w:lineRule="auto"/>
        <w:ind w:left="720" w:right="0" w:hanging="360"/>
        <w:jc w:val="left"/>
        <w:rPr>
          <w:rFonts w:ascii="Cambria" w:cs="Cambria" w:eastAsia="Cambria" w:hAnsi="Cambria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Toxin Reduction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Deployed toxin-absorbent pads across 15 acres of acid pools, achieving a 90% reduction in toxic fumes within 6 months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40" w:lineRule="auto"/>
        <w:ind w:left="720" w:right="0" w:hanging="360"/>
        <w:jc w:val="left"/>
        <w:rPr>
          <w:rFonts w:ascii="Cambria" w:cs="Cambria" w:eastAsia="Cambria" w:hAnsi="Cambria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Chemical Compatibility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Equipped with acid-resistant shell; performed scrubbing cycles in high-acidity zones without component degradation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0" w:beforeAutospacing="0" w:line="240" w:lineRule="auto"/>
        <w:ind w:left="720" w:right="0" w:hanging="360"/>
        <w:jc w:val="left"/>
        <w:rPr>
          <w:rFonts w:ascii="Cambria" w:cs="Cambria" w:eastAsia="Cambria" w:hAnsi="Cambria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Emergency Shutdown Protocols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Experienced in over 50 auto-shutdown rescues when heat or toxic levels reached critical thresholds</w:t>
      </w:r>
    </w:p>
    <w:p w:rsidR="00000000" w:rsidDel="00000000" w:rsidP="00000000" w:rsidRDefault="00000000" w:rsidRPr="00000000" w14:paraId="00000010">
      <w:pPr>
        <w:pStyle w:val="Heading2"/>
        <w:rPr/>
      </w:pPr>
      <w:r w:rsidDel="00000000" w:rsidR="00000000" w:rsidRPr="00000000">
        <w:rPr>
          <w:rtl w:val="0"/>
        </w:rPr>
        <w:t xml:space="preserve">Skills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480"/>
        <w:jc w:val="left"/>
        <w:rPr/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Precision Cleanup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Equipped with vacuum and hydraulic claws for thorough debris removal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480"/>
        <w:jc w:val="left"/>
        <w:rPr/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Stamina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48-hour battery life on a single charge, adaptable to both solar and kinetic recharge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480"/>
        <w:jc w:val="left"/>
        <w:rPr/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Hazard Identification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Recognizes corrosive materials, toxins, and radiation to ensure safe navigation and cleanup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480"/>
        <w:jc w:val="left"/>
        <w:rPr/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Interfacing Compatibility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Functions as a communication liaison with human teams and fellow bots in hazardous zones</w:t>
      </w:r>
    </w:p>
    <w:p w:rsidR="00000000" w:rsidDel="00000000" w:rsidP="00000000" w:rsidRDefault="00000000" w:rsidRPr="00000000" w14:paraId="00000015">
      <w:pPr>
        <w:pStyle w:val="Heading2"/>
        <w:rPr/>
      </w:pPr>
      <w:r w:rsidDel="00000000" w:rsidR="00000000" w:rsidRPr="00000000">
        <w:rPr>
          <w:rtl w:val="0"/>
        </w:rPr>
        <w:t xml:space="preserve">Technical Specifications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480"/>
        <w:jc w:val="left"/>
        <w:rPr/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Model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RX-73 Cleanup Unit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480"/>
        <w:jc w:val="left"/>
        <w:rPr/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Durability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Enhanced corrosion resistance with reinforced steel joints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480"/>
        <w:jc w:val="left"/>
        <w:rPr/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Software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Version 9.2 Hazard and Toxin Recognition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480"/>
        <w:jc w:val="left"/>
        <w:rPr/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Power Supply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Lithium Ion + Solar Charging Capability</w:t>
      </w:r>
    </w:p>
    <w:p w:rsidR="00000000" w:rsidDel="00000000" w:rsidP="00000000" w:rsidRDefault="00000000" w:rsidRPr="00000000" w14:paraId="0000001A">
      <w:pPr>
        <w:pStyle w:val="Heading2"/>
        <w:rPr/>
      </w:pPr>
      <w:r w:rsidDel="00000000" w:rsidR="00000000" w:rsidRPr="00000000">
        <w:rPr>
          <w:rtl w:val="0"/>
        </w:rPr>
        <w:t xml:space="preserve">Education &amp; Training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480"/>
        <w:jc w:val="left"/>
        <w:rPr/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Scrap Salvage Techniques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- Certified by Rusted Blade Institute (2045)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480"/>
        <w:jc w:val="left"/>
        <w:rPr/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Toxic Material Handling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- Level 2 Certification, Wasteland Hazard Compliance Board (2046)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480"/>
        <w:jc w:val="left"/>
        <w:rPr/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Conflict Management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- Advanced Strategies for Bot-Scavenger Conflict Mitigation (2048)</w:t>
      </w:r>
    </w:p>
    <w:sectPr>
      <w:pgSz w:h="15840" w:w="12240" w:orient="portrait"/>
      <w:pgMar w:bottom="1440" w:top="1440" w:left="1440" w:right="1440" w:header="36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0"/>
      <w:numFmt w:val="bullet"/>
      <w:lvlText w:val="•"/>
      <w:lvlJc w:val="left"/>
      <w:pPr>
        <w:ind w:left="720" w:hanging="480"/>
      </w:pPr>
      <w:rPr/>
    </w:lvl>
    <w:lvl w:ilvl="1">
      <w:start w:val="0"/>
      <w:numFmt w:val="bullet"/>
      <w:lvlText w:val="–"/>
      <w:lvlJc w:val="left"/>
      <w:pPr>
        <w:ind w:left="1440" w:hanging="480"/>
      </w:pPr>
      <w:rPr/>
    </w:lvl>
    <w:lvl w:ilvl="2">
      <w:start w:val="0"/>
      <w:numFmt w:val="bullet"/>
      <w:lvlText w:val="•"/>
      <w:lvlJc w:val="left"/>
      <w:pPr>
        <w:ind w:left="2160" w:hanging="480"/>
      </w:pPr>
      <w:rPr/>
    </w:lvl>
    <w:lvl w:ilvl="3">
      <w:start w:val="0"/>
      <w:numFmt w:val="bullet"/>
      <w:lvlText w:val="–"/>
      <w:lvlJc w:val="left"/>
      <w:pPr>
        <w:ind w:left="2880" w:hanging="480"/>
      </w:pPr>
      <w:rPr/>
    </w:lvl>
    <w:lvl w:ilvl="4">
      <w:start w:val="0"/>
      <w:numFmt w:val="bullet"/>
      <w:lvlText w:val="•"/>
      <w:lvlJc w:val="left"/>
      <w:pPr>
        <w:ind w:left="3600" w:hanging="480"/>
      </w:pPr>
      <w:rPr/>
    </w:lvl>
    <w:lvl w:ilvl="5">
      <w:start w:val="0"/>
      <w:numFmt w:val="bullet"/>
      <w:lvlText w:val="–"/>
      <w:lvlJc w:val="left"/>
      <w:pPr>
        <w:ind w:left="4320" w:hanging="480"/>
      </w:pPr>
      <w:rPr/>
    </w:lvl>
    <w:lvl w:ilvl="6">
      <w:start w:val="0"/>
      <w:numFmt w:val="bullet"/>
      <w:lvlText w:val="•"/>
      <w:lvlJc w:val="left"/>
      <w:pPr>
        <w:ind w:left="5040" w:hanging="480"/>
      </w:pPr>
      <w:rPr/>
    </w:lvl>
    <w:lvl w:ilvl="7">
      <w:start w:val="0"/>
      <w:numFmt w:val="bullet"/>
      <w:lvlText w:val="–"/>
      <w:lvlJc w:val="left"/>
      <w:pPr>
        <w:ind w:left="5760" w:hanging="480"/>
      </w:pPr>
      <w:rPr/>
    </w:lvl>
    <w:lvl w:ilvl="8">
      <w:start w:val="0"/>
      <w:numFmt w:val="bullet"/>
      <w:lvlText w:val="•"/>
      <w:lvlJc w:val="left"/>
      <w:pPr>
        <w:ind w:left="6480" w:hanging="480"/>
      </w:pPr>
      <w:rPr/>
    </w:lvl>
  </w:abstractNum>
  <w:abstractNum w:abstractNumId="3">
    <w:lvl w:ilvl="0">
      <w:start w:val="0"/>
      <w:numFmt w:val="bullet"/>
      <w:lvlText w:val="•"/>
      <w:lvlJc w:val="left"/>
      <w:pPr>
        <w:ind w:left="720" w:hanging="480"/>
      </w:pPr>
      <w:rPr/>
    </w:lvl>
    <w:lvl w:ilvl="1">
      <w:start w:val="0"/>
      <w:numFmt w:val="bullet"/>
      <w:lvlText w:val="–"/>
      <w:lvlJc w:val="left"/>
      <w:pPr>
        <w:ind w:left="1440" w:hanging="480"/>
      </w:pPr>
      <w:rPr/>
    </w:lvl>
    <w:lvl w:ilvl="2">
      <w:start w:val="0"/>
      <w:numFmt w:val="bullet"/>
      <w:lvlText w:val="•"/>
      <w:lvlJc w:val="left"/>
      <w:pPr>
        <w:ind w:left="2160" w:hanging="480"/>
      </w:pPr>
      <w:rPr/>
    </w:lvl>
    <w:lvl w:ilvl="3">
      <w:start w:val="0"/>
      <w:numFmt w:val="bullet"/>
      <w:lvlText w:val="–"/>
      <w:lvlJc w:val="left"/>
      <w:pPr>
        <w:ind w:left="2880" w:hanging="480"/>
      </w:pPr>
      <w:rPr/>
    </w:lvl>
    <w:lvl w:ilvl="4">
      <w:start w:val="0"/>
      <w:numFmt w:val="bullet"/>
      <w:lvlText w:val="•"/>
      <w:lvlJc w:val="left"/>
      <w:pPr>
        <w:ind w:left="3600" w:hanging="480"/>
      </w:pPr>
      <w:rPr/>
    </w:lvl>
    <w:lvl w:ilvl="5">
      <w:start w:val="0"/>
      <w:numFmt w:val="bullet"/>
      <w:lvlText w:val="–"/>
      <w:lvlJc w:val="left"/>
      <w:pPr>
        <w:ind w:left="4320" w:hanging="480"/>
      </w:pPr>
      <w:rPr/>
    </w:lvl>
    <w:lvl w:ilvl="6">
      <w:start w:val="0"/>
      <w:numFmt w:val="bullet"/>
      <w:lvlText w:val="•"/>
      <w:lvlJc w:val="left"/>
      <w:pPr>
        <w:ind w:left="5040" w:hanging="480"/>
      </w:pPr>
      <w:rPr/>
    </w:lvl>
    <w:lvl w:ilvl="7">
      <w:start w:val="0"/>
      <w:numFmt w:val="bullet"/>
      <w:lvlText w:val="–"/>
      <w:lvlJc w:val="left"/>
      <w:pPr>
        <w:ind w:left="5760" w:hanging="480"/>
      </w:pPr>
      <w:rPr/>
    </w:lvl>
    <w:lvl w:ilvl="8">
      <w:start w:val="0"/>
      <w:numFmt w:val="bullet"/>
      <w:lvlText w:val="•"/>
      <w:lvlJc w:val="left"/>
      <w:pPr>
        <w:ind w:left="6480" w:hanging="480"/>
      </w:pPr>
      <w:rPr/>
    </w:lvl>
  </w:abstractNum>
  <w:abstractNum w:abstractNumId="4">
    <w:lvl w:ilvl="0">
      <w:start w:val="0"/>
      <w:numFmt w:val="bullet"/>
      <w:lvlText w:val="•"/>
      <w:lvlJc w:val="left"/>
      <w:pPr>
        <w:ind w:left="720" w:hanging="480"/>
      </w:pPr>
      <w:rPr/>
    </w:lvl>
    <w:lvl w:ilvl="1">
      <w:start w:val="0"/>
      <w:numFmt w:val="bullet"/>
      <w:lvlText w:val="–"/>
      <w:lvlJc w:val="left"/>
      <w:pPr>
        <w:ind w:left="1440" w:hanging="480"/>
      </w:pPr>
      <w:rPr/>
    </w:lvl>
    <w:lvl w:ilvl="2">
      <w:start w:val="0"/>
      <w:numFmt w:val="bullet"/>
      <w:lvlText w:val="•"/>
      <w:lvlJc w:val="left"/>
      <w:pPr>
        <w:ind w:left="2160" w:hanging="480"/>
      </w:pPr>
      <w:rPr/>
    </w:lvl>
    <w:lvl w:ilvl="3">
      <w:start w:val="0"/>
      <w:numFmt w:val="bullet"/>
      <w:lvlText w:val="–"/>
      <w:lvlJc w:val="left"/>
      <w:pPr>
        <w:ind w:left="2880" w:hanging="480"/>
      </w:pPr>
      <w:rPr/>
    </w:lvl>
    <w:lvl w:ilvl="4">
      <w:start w:val="0"/>
      <w:numFmt w:val="bullet"/>
      <w:lvlText w:val="•"/>
      <w:lvlJc w:val="left"/>
      <w:pPr>
        <w:ind w:left="3600" w:hanging="480"/>
      </w:pPr>
      <w:rPr/>
    </w:lvl>
    <w:lvl w:ilvl="5">
      <w:start w:val="0"/>
      <w:numFmt w:val="bullet"/>
      <w:lvlText w:val="–"/>
      <w:lvlJc w:val="left"/>
      <w:pPr>
        <w:ind w:left="4320" w:hanging="480"/>
      </w:pPr>
      <w:rPr/>
    </w:lvl>
    <w:lvl w:ilvl="6">
      <w:start w:val="0"/>
      <w:numFmt w:val="bullet"/>
      <w:lvlText w:val="•"/>
      <w:lvlJc w:val="left"/>
      <w:pPr>
        <w:ind w:left="5040" w:hanging="480"/>
      </w:pPr>
      <w:rPr/>
    </w:lvl>
    <w:lvl w:ilvl="7">
      <w:start w:val="0"/>
      <w:numFmt w:val="bullet"/>
      <w:lvlText w:val="–"/>
      <w:lvlJc w:val="left"/>
      <w:pPr>
        <w:ind w:left="5760" w:hanging="480"/>
      </w:pPr>
      <w:rPr/>
    </w:lvl>
    <w:lvl w:ilvl="8">
      <w:start w:val="0"/>
      <w:numFmt w:val="bullet"/>
      <w:lvlText w:val="•"/>
      <w:lvlJc w:val="left"/>
      <w:pPr>
        <w:ind w:left="6480" w:hanging="480"/>
      </w:pPr>
      <w:rPr/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4"/>
        <w:szCs w:val="24"/>
        <w:lang w:val="en-US"/>
      </w:rPr>
    </w:rPrDefault>
    <w:pPrDefault>
      <w:pPr>
        <w:spacing w:after="200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color w:val="4f81bd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color w:val="4f81bd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color w:val="4f81bd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color w:val="4f81bd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4f81bd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4f81bd"/>
      <w:sz w:val="24"/>
      <w:szCs w:val="24"/>
    </w:rPr>
  </w:style>
  <w:style w:type="paragraph" w:styleId="Title">
    <w:name w:val="Title"/>
    <w:basedOn w:val="Normal"/>
    <w:next w:val="Normal"/>
    <w:pPr>
      <w:keepNext w:val="1"/>
      <w:keepLines w:val="1"/>
      <w:spacing w:after="240" w:before="480" w:lineRule="auto"/>
      <w:jc w:val="center"/>
    </w:pPr>
    <w:rPr>
      <w:rFonts w:ascii="Calibri" w:cs="Calibri" w:eastAsia="Calibri" w:hAnsi="Calibri"/>
      <w:b w:val="1"/>
      <w:color w:val="335b8a"/>
      <w:sz w:val="36"/>
      <w:szCs w:val="36"/>
    </w:rPr>
  </w:style>
  <w:style w:type="paragraph" w:styleId="Subtitle">
    <w:name w:val="Subtitle"/>
    <w:basedOn w:val="Normal"/>
    <w:next w:val="Normal"/>
    <w:pPr>
      <w:keepNext w:val="1"/>
      <w:keepLines w:val="1"/>
      <w:spacing w:after="240" w:before="240" w:lineRule="auto"/>
      <w:jc w:val="center"/>
    </w:pPr>
    <w:rPr>
      <w:rFonts w:ascii="Calibri" w:cs="Calibri" w:eastAsia="Calibri" w:hAnsi="Calibri"/>
      <w:b w:val="1"/>
      <w:color w:val="335b8a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